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68" w:rsidRDefault="00C74811" w:rsidP="008D2468">
      <w:pPr>
        <w:jc w:val="both"/>
        <w:rPr>
          <w:rFonts w:ascii="Georgia" w:hAnsi="Georgia"/>
          <w:b/>
          <w:sz w:val="28"/>
          <w:szCs w:val="24"/>
        </w:rPr>
      </w:pPr>
      <w:r w:rsidRPr="00C74811">
        <w:rPr>
          <w:rFonts w:ascii="Georgia" w:hAnsi="Georgia"/>
          <w:b/>
          <w:sz w:val="28"/>
          <w:szCs w:val="24"/>
        </w:rPr>
        <w:t>Pan European pension schemes – a way to close the pension gap</w:t>
      </w:r>
    </w:p>
    <w:p w:rsidR="00C74811" w:rsidRPr="00C74811" w:rsidRDefault="00C74811" w:rsidP="008D2468">
      <w:pPr>
        <w:jc w:val="both"/>
        <w:rPr>
          <w:rFonts w:ascii="Georgia" w:hAnsi="Georgia"/>
          <w:sz w:val="24"/>
          <w:szCs w:val="24"/>
        </w:rPr>
      </w:pPr>
      <w:r w:rsidRPr="00C74811">
        <w:rPr>
          <w:rFonts w:ascii="Georgia" w:hAnsi="Georgia"/>
          <w:sz w:val="24"/>
          <w:szCs w:val="24"/>
        </w:rPr>
        <w:t xml:space="preserve">Igor </w:t>
      </w:r>
      <w:proofErr w:type="spellStart"/>
      <w:r w:rsidRPr="00C74811">
        <w:rPr>
          <w:rFonts w:ascii="Georgia" w:hAnsi="Georgia"/>
          <w:sz w:val="24"/>
          <w:szCs w:val="24"/>
        </w:rPr>
        <w:t>Tkalec</w:t>
      </w:r>
      <w:bookmarkStart w:id="0" w:name="_GoBack"/>
      <w:bookmarkEnd w:id="0"/>
      <w:proofErr w:type="spellEnd"/>
    </w:p>
    <w:p w:rsidR="00C74811" w:rsidRPr="00C74811" w:rsidRDefault="00C74811" w:rsidP="008D2468">
      <w:pPr>
        <w:jc w:val="both"/>
        <w:rPr>
          <w:rFonts w:ascii="Georgia" w:hAnsi="Georgia"/>
          <w:sz w:val="24"/>
          <w:szCs w:val="24"/>
        </w:rPr>
      </w:pPr>
      <w:r w:rsidRPr="00C74811">
        <w:rPr>
          <w:rFonts w:ascii="Georgia" w:hAnsi="Georgia"/>
          <w:sz w:val="24"/>
          <w:szCs w:val="24"/>
        </w:rPr>
        <w:t xml:space="preserve">First published at: </w:t>
      </w:r>
      <w:hyperlink r:id="rId5" w:history="1">
        <w:r w:rsidRPr="00C74811">
          <w:rPr>
            <w:rStyle w:val="Hyperlink"/>
            <w:rFonts w:ascii="Georgia" w:hAnsi="Georgia"/>
            <w:sz w:val="24"/>
            <w:szCs w:val="24"/>
          </w:rPr>
          <w:t>http://politheor.net/</w:t>
        </w:r>
      </w:hyperlink>
      <w:r w:rsidRPr="00C74811">
        <w:rPr>
          <w:rFonts w:ascii="Georgia" w:hAnsi="Georgia"/>
          <w:sz w:val="24"/>
          <w:szCs w:val="24"/>
        </w:rPr>
        <w:t xml:space="preserve"> </w:t>
      </w:r>
    </w:p>
    <w:p w:rsidR="007D254C" w:rsidRPr="00C74811" w:rsidRDefault="00BF369D" w:rsidP="00A546AB">
      <w:pPr>
        <w:jc w:val="both"/>
        <w:rPr>
          <w:rFonts w:ascii="Georgia" w:hAnsi="Georgia"/>
          <w:sz w:val="24"/>
          <w:szCs w:val="24"/>
        </w:rPr>
      </w:pPr>
      <w:r w:rsidRPr="00C74811">
        <w:rPr>
          <w:rFonts w:ascii="Georgia" w:hAnsi="Georgia"/>
          <w:sz w:val="24"/>
          <w:szCs w:val="24"/>
        </w:rPr>
        <w:t xml:space="preserve">The pan-European Personal Pension is the Commission led proposal </w:t>
      </w:r>
      <w:r w:rsidR="002A15F8" w:rsidRPr="00C74811">
        <w:rPr>
          <w:rFonts w:ascii="Georgia" w:hAnsi="Georgia"/>
          <w:sz w:val="24"/>
          <w:szCs w:val="24"/>
        </w:rPr>
        <w:t>to close the pension gap</w:t>
      </w:r>
      <w:r w:rsidR="005004EC" w:rsidRPr="00C74811">
        <w:rPr>
          <w:rFonts w:ascii="Georgia" w:hAnsi="Georgia"/>
          <w:sz w:val="24"/>
          <w:szCs w:val="24"/>
        </w:rPr>
        <w:t xml:space="preserve"> in a cost-effective manner. It</w:t>
      </w:r>
      <w:r w:rsidR="008D23EF" w:rsidRPr="00C74811">
        <w:rPr>
          <w:rFonts w:ascii="Georgia" w:hAnsi="Georgia"/>
          <w:sz w:val="24"/>
          <w:szCs w:val="24"/>
        </w:rPr>
        <w:t>s benefits spread across</w:t>
      </w:r>
      <w:r w:rsidRPr="00C74811">
        <w:rPr>
          <w:rFonts w:ascii="Georgia" w:hAnsi="Georgia"/>
          <w:sz w:val="24"/>
          <w:szCs w:val="24"/>
        </w:rPr>
        <w:t xml:space="preserve"> multiple fronts: improving pension system sustainability, strengthening current fiscal and macroeconomic coordination framework, unlock long-term investment, and contributing to deeper economic integration.</w:t>
      </w:r>
      <w:r w:rsidR="005004EC" w:rsidRPr="00C74811">
        <w:rPr>
          <w:rFonts w:ascii="Georgia" w:hAnsi="Georgia"/>
          <w:sz w:val="24"/>
          <w:szCs w:val="24"/>
        </w:rPr>
        <w:t xml:space="preserve"> </w:t>
      </w:r>
    </w:p>
    <w:p w:rsidR="005004EC" w:rsidRPr="00C74811" w:rsidRDefault="004D7D49" w:rsidP="00A546AB">
      <w:pPr>
        <w:jc w:val="both"/>
        <w:rPr>
          <w:rFonts w:ascii="Georgia" w:hAnsi="Georgia"/>
          <w:sz w:val="24"/>
          <w:szCs w:val="24"/>
        </w:rPr>
      </w:pPr>
      <w:r w:rsidRPr="00C74811">
        <w:rPr>
          <w:rFonts w:ascii="Georgia" w:hAnsi="Georgia"/>
          <w:sz w:val="24"/>
          <w:szCs w:val="24"/>
        </w:rPr>
        <w:t xml:space="preserve">Europe is getting old. Ageing population </w:t>
      </w:r>
      <w:r w:rsidR="00BA6D1A" w:rsidRPr="00C74811">
        <w:rPr>
          <w:rFonts w:ascii="Georgia" w:hAnsi="Georgia"/>
          <w:sz w:val="24"/>
          <w:szCs w:val="24"/>
        </w:rPr>
        <w:t>is a luxury good hardly any country</w:t>
      </w:r>
      <w:r w:rsidRPr="00C74811">
        <w:rPr>
          <w:rFonts w:ascii="Georgia" w:hAnsi="Georgia"/>
          <w:sz w:val="24"/>
          <w:szCs w:val="24"/>
        </w:rPr>
        <w:t xml:space="preserve"> can afford. It has been one</w:t>
      </w:r>
      <w:r w:rsidR="002341FF" w:rsidRPr="00C74811">
        <w:rPr>
          <w:rFonts w:ascii="Georgia" w:hAnsi="Georgia"/>
          <w:sz w:val="24"/>
          <w:szCs w:val="24"/>
        </w:rPr>
        <w:t xml:space="preserve"> of the main policy challenges i</w:t>
      </w:r>
      <w:r w:rsidRPr="00C74811">
        <w:rPr>
          <w:rFonts w:ascii="Georgia" w:hAnsi="Georgia"/>
          <w:sz w:val="24"/>
          <w:szCs w:val="24"/>
        </w:rPr>
        <w:t>n the Union.</w:t>
      </w:r>
      <w:r w:rsidR="0088341B" w:rsidRPr="00C74811">
        <w:rPr>
          <w:rFonts w:ascii="Georgia" w:hAnsi="Georgia"/>
          <w:sz w:val="24"/>
          <w:szCs w:val="24"/>
        </w:rPr>
        <w:t xml:space="preserve"> Increasing</w:t>
      </w:r>
      <w:r w:rsidR="002341FF" w:rsidRPr="00C74811">
        <w:rPr>
          <w:rFonts w:ascii="Georgia" w:hAnsi="Georgia"/>
          <w:sz w:val="24"/>
          <w:szCs w:val="24"/>
        </w:rPr>
        <w:t xml:space="preserve"> </w:t>
      </w:r>
      <w:hyperlink r:id="rId6" w:history="1">
        <w:r w:rsidR="002341FF" w:rsidRPr="00C74811">
          <w:rPr>
            <w:rStyle w:val="Hyperlink"/>
            <w:rFonts w:ascii="Georgia" w:hAnsi="Georgia"/>
            <w:sz w:val="24"/>
            <w:szCs w:val="24"/>
          </w:rPr>
          <w:t>old-age dependency ratio</w:t>
        </w:r>
      </w:hyperlink>
      <w:r w:rsidR="002341FF" w:rsidRPr="00C74811">
        <w:rPr>
          <w:rFonts w:ascii="Georgia" w:hAnsi="Georgia"/>
          <w:sz w:val="24"/>
          <w:szCs w:val="24"/>
        </w:rPr>
        <w:t xml:space="preserve"> will </w:t>
      </w:r>
      <w:r w:rsidR="0088341B" w:rsidRPr="00C74811">
        <w:rPr>
          <w:rFonts w:ascii="Georgia" w:hAnsi="Georgia"/>
          <w:sz w:val="24"/>
          <w:szCs w:val="24"/>
        </w:rPr>
        <w:t>widen the pension gap</w:t>
      </w:r>
      <w:r w:rsidR="002341FF" w:rsidRPr="00C74811">
        <w:rPr>
          <w:rFonts w:ascii="Georgia" w:hAnsi="Georgia"/>
          <w:sz w:val="24"/>
          <w:szCs w:val="24"/>
        </w:rPr>
        <w:t xml:space="preserve"> </w:t>
      </w:r>
      <w:r w:rsidR="0088341B" w:rsidRPr="00C74811">
        <w:rPr>
          <w:rFonts w:ascii="Georgia" w:hAnsi="Georgia"/>
          <w:sz w:val="24"/>
          <w:szCs w:val="24"/>
        </w:rPr>
        <w:t xml:space="preserve">and make </w:t>
      </w:r>
      <w:r w:rsidR="00297042" w:rsidRPr="00C74811">
        <w:rPr>
          <w:rFonts w:ascii="Georgia" w:hAnsi="Georgia"/>
          <w:sz w:val="24"/>
          <w:szCs w:val="24"/>
        </w:rPr>
        <w:t xml:space="preserve">current </w:t>
      </w:r>
      <w:r w:rsidR="0088341B" w:rsidRPr="00C74811">
        <w:rPr>
          <w:rFonts w:ascii="Georgia" w:hAnsi="Georgia"/>
          <w:sz w:val="24"/>
          <w:szCs w:val="24"/>
        </w:rPr>
        <w:t>pension systems unsustainable</w:t>
      </w:r>
      <w:r w:rsidR="002341FF" w:rsidRPr="00C74811">
        <w:rPr>
          <w:rFonts w:ascii="Georgia" w:hAnsi="Georgia"/>
          <w:sz w:val="24"/>
          <w:szCs w:val="24"/>
        </w:rPr>
        <w:t xml:space="preserve">. </w:t>
      </w:r>
      <w:r w:rsidR="0088341B" w:rsidRPr="00C74811">
        <w:rPr>
          <w:rFonts w:ascii="Georgia" w:hAnsi="Georgia"/>
          <w:sz w:val="24"/>
          <w:szCs w:val="24"/>
        </w:rPr>
        <w:t xml:space="preserve">Over the past decades, </w:t>
      </w:r>
      <w:r w:rsidR="002679E9" w:rsidRPr="00C74811">
        <w:rPr>
          <w:rFonts w:ascii="Georgia" w:hAnsi="Georgia"/>
          <w:sz w:val="24"/>
          <w:szCs w:val="24"/>
        </w:rPr>
        <w:t>politicians</w:t>
      </w:r>
      <w:r w:rsidRPr="00C74811">
        <w:rPr>
          <w:rFonts w:ascii="Georgia" w:hAnsi="Georgia"/>
          <w:sz w:val="24"/>
          <w:szCs w:val="24"/>
        </w:rPr>
        <w:t xml:space="preserve"> have been in </w:t>
      </w:r>
      <w:r w:rsidR="008219C0" w:rsidRPr="00C74811">
        <w:rPr>
          <w:rFonts w:ascii="Georgia" w:hAnsi="Georgia"/>
          <w:sz w:val="24"/>
          <w:szCs w:val="24"/>
        </w:rPr>
        <w:t xml:space="preserve">a </w:t>
      </w:r>
      <w:r w:rsidR="00276B08" w:rsidRPr="00C74811">
        <w:rPr>
          <w:rFonts w:ascii="Georgia" w:hAnsi="Georgia"/>
          <w:sz w:val="24"/>
          <w:szCs w:val="24"/>
        </w:rPr>
        <w:t>rambling quest</w:t>
      </w:r>
      <w:r w:rsidRPr="00C74811">
        <w:rPr>
          <w:rFonts w:ascii="Georgia" w:hAnsi="Georgia"/>
          <w:sz w:val="24"/>
          <w:szCs w:val="24"/>
        </w:rPr>
        <w:t xml:space="preserve"> to </w:t>
      </w:r>
      <w:r w:rsidR="002341FF" w:rsidRPr="00C74811">
        <w:rPr>
          <w:rFonts w:ascii="Georgia" w:hAnsi="Georgia"/>
          <w:sz w:val="24"/>
          <w:szCs w:val="24"/>
        </w:rPr>
        <w:t>close the gap</w:t>
      </w:r>
      <w:r w:rsidR="0088341B" w:rsidRPr="00C74811">
        <w:rPr>
          <w:rFonts w:ascii="Georgia" w:hAnsi="Georgia"/>
          <w:sz w:val="24"/>
          <w:szCs w:val="24"/>
        </w:rPr>
        <w:t xml:space="preserve">. </w:t>
      </w:r>
      <w:r w:rsidR="00276B08" w:rsidRPr="00C74811">
        <w:rPr>
          <w:rFonts w:ascii="Georgia" w:hAnsi="Georgia"/>
          <w:sz w:val="24"/>
          <w:szCs w:val="24"/>
        </w:rPr>
        <w:t xml:space="preserve">Their confidence in finding a solution </w:t>
      </w:r>
      <w:proofErr w:type="gramStart"/>
      <w:r w:rsidR="00276B08" w:rsidRPr="00C74811">
        <w:rPr>
          <w:rFonts w:ascii="Georgia" w:hAnsi="Georgia"/>
          <w:sz w:val="24"/>
          <w:szCs w:val="24"/>
        </w:rPr>
        <w:t>must have been restored</w:t>
      </w:r>
      <w:proofErr w:type="gramEnd"/>
      <w:r w:rsidR="00276B08" w:rsidRPr="00C74811">
        <w:rPr>
          <w:rFonts w:ascii="Georgia" w:hAnsi="Georgia"/>
          <w:sz w:val="24"/>
          <w:szCs w:val="24"/>
        </w:rPr>
        <w:t xml:space="preserve"> after</w:t>
      </w:r>
      <w:r w:rsidR="00297042" w:rsidRPr="00C74811">
        <w:rPr>
          <w:rFonts w:ascii="Georgia" w:hAnsi="Georgia"/>
          <w:sz w:val="24"/>
          <w:szCs w:val="24"/>
        </w:rPr>
        <w:t xml:space="preserve"> commissioner </w:t>
      </w:r>
      <w:r w:rsidR="00276B08" w:rsidRPr="00C74811">
        <w:rPr>
          <w:rFonts w:ascii="Georgia" w:hAnsi="Georgia"/>
          <w:sz w:val="24"/>
          <w:szCs w:val="24"/>
        </w:rPr>
        <w:t xml:space="preserve">Valdis Domborvskis </w:t>
      </w:r>
      <w:hyperlink r:id="rId7" w:history="1">
        <w:r w:rsidR="001C7C2E" w:rsidRPr="00C74811">
          <w:rPr>
            <w:rStyle w:val="Hyperlink"/>
            <w:rFonts w:ascii="Georgia" w:hAnsi="Georgia"/>
            <w:sz w:val="24"/>
            <w:szCs w:val="24"/>
          </w:rPr>
          <w:t>announced</w:t>
        </w:r>
      </w:hyperlink>
      <w:r w:rsidR="00276B08" w:rsidRPr="00C74811">
        <w:rPr>
          <w:rFonts w:ascii="Georgia" w:hAnsi="Georgia"/>
          <w:sz w:val="24"/>
          <w:szCs w:val="24"/>
        </w:rPr>
        <w:t xml:space="preserve"> </w:t>
      </w:r>
      <w:r w:rsidR="001C7C2E" w:rsidRPr="00C74811">
        <w:rPr>
          <w:rFonts w:ascii="Georgia" w:hAnsi="Georgia"/>
          <w:sz w:val="24"/>
          <w:szCs w:val="24"/>
        </w:rPr>
        <w:t xml:space="preserve">the </w:t>
      </w:r>
      <w:r w:rsidR="00C67192" w:rsidRPr="00C74811">
        <w:rPr>
          <w:rFonts w:ascii="Georgia" w:hAnsi="Georgia"/>
          <w:sz w:val="24"/>
          <w:szCs w:val="24"/>
        </w:rPr>
        <w:t>pan-European Personal Pension.</w:t>
      </w:r>
      <w:r w:rsidR="0029129C" w:rsidRPr="00C74811">
        <w:rPr>
          <w:rFonts w:ascii="Georgia" w:hAnsi="Georgia"/>
          <w:sz w:val="24"/>
          <w:szCs w:val="24"/>
        </w:rPr>
        <w:t xml:space="preserve"> </w:t>
      </w:r>
      <w:r w:rsidR="00A82AA9" w:rsidRPr="00C74811">
        <w:rPr>
          <w:rFonts w:ascii="Georgia" w:hAnsi="Georgia"/>
          <w:sz w:val="24"/>
          <w:szCs w:val="24"/>
        </w:rPr>
        <w:t xml:space="preserve">Member States should utilize this opportunity to </w:t>
      </w:r>
      <w:r w:rsidR="00916C37" w:rsidRPr="00C74811">
        <w:rPr>
          <w:rFonts w:ascii="Georgia" w:hAnsi="Georgia"/>
          <w:sz w:val="24"/>
          <w:szCs w:val="24"/>
        </w:rPr>
        <w:t>continue</w:t>
      </w:r>
      <w:r w:rsidR="00A82AA9" w:rsidRPr="00C74811">
        <w:rPr>
          <w:rFonts w:ascii="Georgia" w:hAnsi="Georgia"/>
          <w:sz w:val="24"/>
          <w:szCs w:val="24"/>
        </w:rPr>
        <w:t xml:space="preserve"> tackling ageing population</w:t>
      </w:r>
      <w:r w:rsidR="00A546AB" w:rsidRPr="00C74811">
        <w:rPr>
          <w:rFonts w:ascii="Georgia" w:hAnsi="Georgia"/>
          <w:sz w:val="24"/>
          <w:szCs w:val="24"/>
        </w:rPr>
        <w:t xml:space="preserve"> as t</w:t>
      </w:r>
      <w:r w:rsidR="00A82AA9" w:rsidRPr="00C74811">
        <w:rPr>
          <w:rFonts w:ascii="Georgia" w:hAnsi="Georgia"/>
          <w:sz w:val="24"/>
          <w:szCs w:val="24"/>
        </w:rPr>
        <w:t xml:space="preserve">he pan-European </w:t>
      </w:r>
      <w:r w:rsidR="000C5841" w:rsidRPr="00C74811">
        <w:rPr>
          <w:rFonts w:ascii="Georgia" w:hAnsi="Georgia"/>
          <w:sz w:val="24"/>
          <w:szCs w:val="24"/>
        </w:rPr>
        <w:t xml:space="preserve">Personal </w:t>
      </w:r>
      <w:r w:rsidR="00A82AA9" w:rsidRPr="00C74811">
        <w:rPr>
          <w:rFonts w:ascii="Georgia" w:hAnsi="Georgia"/>
          <w:sz w:val="24"/>
          <w:szCs w:val="24"/>
        </w:rPr>
        <w:t xml:space="preserve">Pension </w:t>
      </w:r>
      <w:r w:rsidR="00A546AB" w:rsidRPr="00C74811">
        <w:rPr>
          <w:rFonts w:ascii="Georgia" w:hAnsi="Georgia"/>
          <w:sz w:val="24"/>
          <w:szCs w:val="24"/>
        </w:rPr>
        <w:t xml:space="preserve">underpins three socio-economic </w:t>
      </w:r>
      <w:r w:rsidR="000C5841" w:rsidRPr="00C74811">
        <w:rPr>
          <w:rFonts w:ascii="Georgia" w:hAnsi="Georgia"/>
          <w:sz w:val="24"/>
          <w:szCs w:val="24"/>
        </w:rPr>
        <w:t xml:space="preserve">and institutional </w:t>
      </w:r>
      <w:r w:rsidR="00A546AB" w:rsidRPr="00C74811">
        <w:rPr>
          <w:rFonts w:ascii="Georgia" w:hAnsi="Georgia"/>
          <w:sz w:val="24"/>
          <w:szCs w:val="24"/>
        </w:rPr>
        <w:t xml:space="preserve">developments in the Union: pension system reform at national level, fiscal and macroeconomic policy coordination, and </w:t>
      </w:r>
      <w:r w:rsidR="00696C48" w:rsidRPr="00C74811">
        <w:rPr>
          <w:rFonts w:ascii="Georgia" w:hAnsi="Georgia"/>
          <w:sz w:val="24"/>
          <w:szCs w:val="24"/>
        </w:rPr>
        <w:t>deeper</w:t>
      </w:r>
      <w:r w:rsidR="00A546AB" w:rsidRPr="00C74811">
        <w:rPr>
          <w:rFonts w:ascii="Georgia" w:hAnsi="Georgia"/>
          <w:sz w:val="24"/>
          <w:szCs w:val="24"/>
        </w:rPr>
        <w:t xml:space="preserve"> economic integration.</w:t>
      </w:r>
      <w:r w:rsidR="000C5841" w:rsidRPr="00C74811">
        <w:rPr>
          <w:rFonts w:ascii="Georgia" w:hAnsi="Georgia"/>
          <w:sz w:val="24"/>
          <w:szCs w:val="24"/>
        </w:rPr>
        <w:t xml:space="preserve"> </w:t>
      </w:r>
    </w:p>
    <w:p w:rsidR="006D2B3F" w:rsidRPr="00C74811" w:rsidRDefault="00C74811" w:rsidP="00A546AB">
      <w:pPr>
        <w:jc w:val="both"/>
        <w:rPr>
          <w:rFonts w:ascii="Georgia" w:hAnsi="Georgia"/>
          <w:sz w:val="24"/>
          <w:szCs w:val="24"/>
        </w:rPr>
      </w:pPr>
      <w:hyperlink r:id="rId8" w:history="1">
        <w:r w:rsidR="00950EE9" w:rsidRPr="00C74811">
          <w:rPr>
            <w:rStyle w:val="Hyperlink"/>
            <w:rFonts w:ascii="Georgia" w:hAnsi="Georgia"/>
            <w:sz w:val="24"/>
            <w:szCs w:val="24"/>
          </w:rPr>
          <w:t xml:space="preserve">The pan-European </w:t>
        </w:r>
        <w:r w:rsidR="006F2B43" w:rsidRPr="00C74811">
          <w:rPr>
            <w:rStyle w:val="Hyperlink"/>
            <w:rFonts w:ascii="Georgia" w:hAnsi="Georgia"/>
            <w:sz w:val="24"/>
            <w:szCs w:val="24"/>
          </w:rPr>
          <w:t xml:space="preserve">Personal </w:t>
        </w:r>
        <w:r w:rsidR="00950EE9" w:rsidRPr="00C74811">
          <w:rPr>
            <w:rStyle w:val="Hyperlink"/>
            <w:rFonts w:ascii="Georgia" w:hAnsi="Georgia"/>
            <w:sz w:val="24"/>
            <w:szCs w:val="24"/>
          </w:rPr>
          <w:t>Pension</w:t>
        </w:r>
      </w:hyperlink>
      <w:r w:rsidR="006F2B43" w:rsidRPr="00C74811">
        <w:rPr>
          <w:rFonts w:ascii="Georgia" w:hAnsi="Georgia"/>
          <w:sz w:val="24"/>
          <w:szCs w:val="24"/>
        </w:rPr>
        <w:t xml:space="preserve"> </w:t>
      </w:r>
      <w:r w:rsidR="00950EE9" w:rsidRPr="00C74811">
        <w:rPr>
          <w:rFonts w:ascii="Georgia" w:hAnsi="Georgia"/>
          <w:sz w:val="24"/>
          <w:szCs w:val="24"/>
        </w:rPr>
        <w:t xml:space="preserve">is a voluntary, personal pension scheme that will provide a fresh option to save for retirement. It will not substitute existing schemes, but will complement them. </w:t>
      </w:r>
      <w:r w:rsidR="006D30F1" w:rsidRPr="00C74811">
        <w:rPr>
          <w:rFonts w:ascii="Georgia" w:hAnsi="Georgia"/>
          <w:sz w:val="24"/>
          <w:szCs w:val="24"/>
        </w:rPr>
        <w:t>Rationales</w:t>
      </w:r>
      <w:r w:rsidR="00060835" w:rsidRPr="00C74811">
        <w:rPr>
          <w:rFonts w:ascii="Georgia" w:hAnsi="Georgia"/>
          <w:sz w:val="24"/>
          <w:szCs w:val="24"/>
        </w:rPr>
        <w:t xml:space="preserve"> behind the ide are a</w:t>
      </w:r>
      <w:r w:rsidR="006723B2" w:rsidRPr="00C74811">
        <w:rPr>
          <w:rFonts w:ascii="Georgia" w:hAnsi="Georgia"/>
          <w:sz w:val="24"/>
          <w:szCs w:val="24"/>
        </w:rPr>
        <w:t>ffordable options for pension providers to spread their services across the Union, unlocking capital for long-term investment and contribution to narrowing the pension gap</w:t>
      </w:r>
      <w:r w:rsidR="00696C48" w:rsidRPr="00C74811">
        <w:rPr>
          <w:rFonts w:ascii="Georgia" w:hAnsi="Georgia"/>
          <w:sz w:val="24"/>
          <w:szCs w:val="24"/>
        </w:rPr>
        <w:t xml:space="preserve">. The idea should be in place </w:t>
      </w:r>
      <w:r w:rsidR="006723B2" w:rsidRPr="00C74811">
        <w:rPr>
          <w:rFonts w:ascii="Georgia" w:hAnsi="Georgia"/>
          <w:sz w:val="24"/>
          <w:szCs w:val="24"/>
        </w:rPr>
        <w:t>by the end of 2019.</w:t>
      </w:r>
      <w:r w:rsidR="00937E1F" w:rsidRPr="00C74811">
        <w:rPr>
          <w:rFonts w:ascii="Georgia" w:hAnsi="Georgia"/>
          <w:sz w:val="24"/>
          <w:szCs w:val="24"/>
        </w:rPr>
        <w:t xml:space="preserve"> </w:t>
      </w:r>
    </w:p>
    <w:p w:rsidR="004016A1" w:rsidRPr="00C74811" w:rsidRDefault="00BC6594" w:rsidP="006723B2">
      <w:pPr>
        <w:jc w:val="both"/>
        <w:rPr>
          <w:rFonts w:ascii="Georgia" w:hAnsi="Georgia"/>
          <w:sz w:val="24"/>
          <w:szCs w:val="24"/>
        </w:rPr>
      </w:pPr>
      <w:r w:rsidRPr="00C74811">
        <w:rPr>
          <w:rFonts w:ascii="Georgia" w:hAnsi="Georgia"/>
          <w:sz w:val="24"/>
          <w:szCs w:val="24"/>
        </w:rPr>
        <w:t>Portability</w:t>
      </w:r>
      <w:r w:rsidR="00F92AB7" w:rsidRPr="00C74811">
        <w:rPr>
          <w:rFonts w:ascii="Georgia" w:hAnsi="Georgia"/>
          <w:sz w:val="24"/>
          <w:szCs w:val="24"/>
        </w:rPr>
        <w:t xml:space="preserve"> and cost-efficiency are</w:t>
      </w:r>
      <w:r w:rsidRPr="00C74811">
        <w:rPr>
          <w:rFonts w:ascii="Georgia" w:hAnsi="Georgia"/>
          <w:sz w:val="24"/>
          <w:szCs w:val="24"/>
        </w:rPr>
        <w:t xml:space="preserve"> the main advantages of the pan-European Pension</w:t>
      </w:r>
      <w:r w:rsidR="003B5B87" w:rsidRPr="00C74811">
        <w:rPr>
          <w:rFonts w:ascii="Georgia" w:hAnsi="Georgia"/>
          <w:sz w:val="24"/>
          <w:szCs w:val="24"/>
        </w:rPr>
        <w:t xml:space="preserve"> in the context of free movement of labour</w:t>
      </w:r>
      <w:r w:rsidR="000C5841" w:rsidRPr="00C74811">
        <w:rPr>
          <w:rFonts w:ascii="Georgia" w:hAnsi="Georgia"/>
          <w:sz w:val="24"/>
          <w:szCs w:val="24"/>
        </w:rPr>
        <w:t xml:space="preserve"> and retirement saving</w:t>
      </w:r>
      <w:r w:rsidRPr="00C74811">
        <w:rPr>
          <w:rFonts w:ascii="Georgia" w:hAnsi="Georgia"/>
          <w:sz w:val="24"/>
          <w:szCs w:val="24"/>
        </w:rPr>
        <w:t>. A saver moving within the Union during his working lifetime will accumulate retirement funds</w:t>
      </w:r>
      <w:r w:rsidR="00F92AB7" w:rsidRPr="00C74811">
        <w:rPr>
          <w:rFonts w:ascii="Georgia" w:hAnsi="Georgia"/>
          <w:sz w:val="24"/>
          <w:szCs w:val="24"/>
        </w:rPr>
        <w:t xml:space="preserve"> in multiple</w:t>
      </w:r>
      <w:r w:rsidRPr="00C74811">
        <w:rPr>
          <w:rFonts w:ascii="Georgia" w:hAnsi="Georgia"/>
          <w:sz w:val="24"/>
          <w:szCs w:val="24"/>
        </w:rPr>
        <w:t xml:space="preserve"> </w:t>
      </w:r>
      <w:r w:rsidR="00F92AB7" w:rsidRPr="00C74811">
        <w:rPr>
          <w:rFonts w:ascii="Georgia" w:hAnsi="Georgia"/>
          <w:sz w:val="24"/>
          <w:szCs w:val="24"/>
        </w:rPr>
        <w:t xml:space="preserve">(national) </w:t>
      </w:r>
      <w:r w:rsidRPr="00C74811">
        <w:rPr>
          <w:rFonts w:ascii="Georgia" w:hAnsi="Georgia"/>
          <w:sz w:val="24"/>
          <w:szCs w:val="24"/>
        </w:rPr>
        <w:t xml:space="preserve">compartments each complying with the rules of the member state in which they currently work. </w:t>
      </w:r>
      <w:r w:rsidR="00F92AB7" w:rsidRPr="00C74811">
        <w:rPr>
          <w:rFonts w:ascii="Georgia" w:hAnsi="Georgia"/>
          <w:sz w:val="24"/>
          <w:szCs w:val="24"/>
        </w:rPr>
        <w:t>T</w:t>
      </w:r>
      <w:r w:rsidR="007C0A90" w:rsidRPr="00C74811">
        <w:rPr>
          <w:rFonts w:ascii="Georgia" w:hAnsi="Georgia"/>
          <w:sz w:val="24"/>
          <w:szCs w:val="24"/>
        </w:rPr>
        <w:t xml:space="preserve">he pan-European Pension enables costless continuation of “topping up” the </w:t>
      </w:r>
      <w:r w:rsidR="000B4151" w:rsidRPr="00C74811">
        <w:rPr>
          <w:rFonts w:ascii="Georgia" w:hAnsi="Georgia"/>
          <w:sz w:val="24"/>
          <w:szCs w:val="24"/>
        </w:rPr>
        <w:t xml:space="preserve">exact </w:t>
      </w:r>
      <w:r w:rsidR="007C0A90" w:rsidRPr="00C74811">
        <w:rPr>
          <w:rFonts w:ascii="Georgia" w:hAnsi="Georgia"/>
          <w:sz w:val="24"/>
          <w:szCs w:val="24"/>
        </w:rPr>
        <w:t xml:space="preserve">same personal pension </w:t>
      </w:r>
      <w:r w:rsidR="000B4151" w:rsidRPr="00C74811">
        <w:rPr>
          <w:rFonts w:ascii="Georgia" w:hAnsi="Georgia"/>
          <w:sz w:val="24"/>
          <w:szCs w:val="24"/>
        </w:rPr>
        <w:t>plan</w:t>
      </w:r>
      <w:r w:rsidR="007C0A90" w:rsidRPr="00C74811">
        <w:rPr>
          <w:rFonts w:ascii="Georgia" w:hAnsi="Georgia"/>
          <w:sz w:val="24"/>
          <w:szCs w:val="24"/>
        </w:rPr>
        <w:t xml:space="preserve"> when a saver changes his/her</w:t>
      </w:r>
      <w:r w:rsidR="000B4151" w:rsidRPr="00C74811">
        <w:rPr>
          <w:rFonts w:ascii="Georgia" w:hAnsi="Georgia"/>
          <w:sz w:val="24"/>
          <w:szCs w:val="24"/>
        </w:rPr>
        <w:t xml:space="preserve"> country of employment/residence.</w:t>
      </w:r>
      <w:r w:rsidR="007C0A90" w:rsidRPr="00C74811">
        <w:rPr>
          <w:rFonts w:ascii="Georgia" w:hAnsi="Georgia"/>
          <w:sz w:val="24"/>
          <w:szCs w:val="24"/>
        </w:rPr>
        <w:t xml:space="preserve"> The pension providers (e.g. insurance companies, banks, investment firms etc.) will invest the funds in low-risk ventures. The so-called </w:t>
      </w:r>
      <w:hyperlink r:id="rId9" w:history="1">
        <w:r w:rsidR="007C0A90" w:rsidRPr="00C74811">
          <w:rPr>
            <w:rStyle w:val="Hyperlink"/>
            <w:rFonts w:ascii="Georgia" w:hAnsi="Georgia"/>
            <w:sz w:val="24"/>
            <w:szCs w:val="24"/>
          </w:rPr>
          <w:t>default investment option</w:t>
        </w:r>
      </w:hyperlink>
      <w:r w:rsidR="00C60861" w:rsidRPr="00C74811">
        <w:rPr>
          <w:rFonts w:ascii="Georgia" w:hAnsi="Georgia"/>
          <w:sz w:val="24"/>
          <w:szCs w:val="24"/>
        </w:rPr>
        <w:t>,</w:t>
      </w:r>
      <w:r w:rsidR="007C0A90" w:rsidRPr="00C74811">
        <w:rPr>
          <w:rFonts w:ascii="Georgia" w:hAnsi="Georgia"/>
          <w:sz w:val="24"/>
          <w:szCs w:val="24"/>
        </w:rPr>
        <w:t xml:space="preserve"> which at least recovers the initial capital, </w:t>
      </w:r>
      <w:r w:rsidR="0033072C" w:rsidRPr="00C74811">
        <w:rPr>
          <w:rFonts w:ascii="Georgia" w:hAnsi="Georgia"/>
          <w:sz w:val="24"/>
          <w:szCs w:val="24"/>
        </w:rPr>
        <w:t xml:space="preserve">will be the most common one offered to savers. </w:t>
      </w:r>
      <w:r w:rsidR="00C9027A" w:rsidRPr="00C74811">
        <w:rPr>
          <w:rFonts w:ascii="Georgia" w:hAnsi="Georgia"/>
          <w:sz w:val="24"/>
          <w:szCs w:val="24"/>
        </w:rPr>
        <w:t xml:space="preserve">Anyone </w:t>
      </w:r>
      <w:proofErr w:type="gramStart"/>
      <w:r w:rsidR="00C9027A" w:rsidRPr="00C74811">
        <w:rPr>
          <w:rFonts w:ascii="Georgia" w:hAnsi="Georgia"/>
          <w:sz w:val="24"/>
          <w:szCs w:val="24"/>
        </w:rPr>
        <w:t>employed,</w:t>
      </w:r>
      <w:proofErr w:type="gramEnd"/>
      <w:r w:rsidR="00C9027A" w:rsidRPr="00C74811">
        <w:rPr>
          <w:rFonts w:ascii="Georgia" w:hAnsi="Georgia"/>
          <w:sz w:val="24"/>
          <w:szCs w:val="24"/>
        </w:rPr>
        <w:t xml:space="preserve"> unemployed or in education can start participating in the pan-Pension</w:t>
      </w:r>
      <w:r w:rsidR="006D30F1" w:rsidRPr="00C74811">
        <w:rPr>
          <w:rFonts w:ascii="Georgia" w:hAnsi="Georgia"/>
          <w:sz w:val="24"/>
          <w:szCs w:val="24"/>
        </w:rPr>
        <w:t xml:space="preserve"> scheme</w:t>
      </w:r>
      <w:r w:rsidR="00C9027A" w:rsidRPr="00C74811">
        <w:rPr>
          <w:rFonts w:ascii="Georgia" w:hAnsi="Georgia"/>
          <w:sz w:val="24"/>
          <w:szCs w:val="24"/>
        </w:rPr>
        <w:t xml:space="preserve">. </w:t>
      </w:r>
      <w:r w:rsidR="001337CD" w:rsidRPr="00C74811">
        <w:rPr>
          <w:rFonts w:ascii="Georgia" w:hAnsi="Georgia"/>
          <w:sz w:val="24"/>
          <w:szCs w:val="24"/>
        </w:rPr>
        <w:t>The European Insurance and Occupational Pensions Authority (IOPA) will be</w:t>
      </w:r>
      <w:r w:rsidR="00696C48" w:rsidRPr="00C74811">
        <w:rPr>
          <w:rFonts w:ascii="Georgia" w:hAnsi="Georgia"/>
          <w:sz w:val="24"/>
          <w:szCs w:val="24"/>
        </w:rPr>
        <w:t xml:space="preserve"> the body</w:t>
      </w:r>
      <w:r w:rsidR="001337CD" w:rsidRPr="00C74811">
        <w:rPr>
          <w:rFonts w:ascii="Georgia" w:hAnsi="Georgia"/>
          <w:sz w:val="24"/>
          <w:szCs w:val="24"/>
        </w:rPr>
        <w:t xml:space="preserve"> in charge of authorizing pan-Pension product. </w:t>
      </w:r>
    </w:p>
    <w:p w:rsidR="00696C48" w:rsidRPr="00C74811" w:rsidRDefault="00696C48" w:rsidP="00BF4579">
      <w:pPr>
        <w:jc w:val="both"/>
        <w:rPr>
          <w:rFonts w:ascii="Georgia" w:hAnsi="Georgia"/>
          <w:sz w:val="24"/>
          <w:szCs w:val="24"/>
        </w:rPr>
      </w:pPr>
      <w:r w:rsidRPr="00C74811">
        <w:rPr>
          <w:rFonts w:ascii="Georgia" w:hAnsi="Georgia"/>
          <w:sz w:val="24"/>
          <w:szCs w:val="24"/>
        </w:rPr>
        <w:t xml:space="preserve">On a </w:t>
      </w:r>
      <w:r w:rsidR="005B1645" w:rsidRPr="00C74811">
        <w:rPr>
          <w:rFonts w:ascii="Georgia" w:hAnsi="Georgia"/>
          <w:sz w:val="24"/>
          <w:szCs w:val="24"/>
        </w:rPr>
        <w:t>perturbing</w:t>
      </w:r>
      <w:r w:rsidRPr="00C74811">
        <w:rPr>
          <w:rFonts w:ascii="Georgia" w:hAnsi="Georgia"/>
          <w:sz w:val="24"/>
          <w:szCs w:val="24"/>
        </w:rPr>
        <w:t xml:space="preserve"> note,</w:t>
      </w:r>
      <w:r w:rsidR="005D5D0B" w:rsidRPr="00C74811">
        <w:rPr>
          <w:rFonts w:ascii="Georgia" w:hAnsi="Georgia"/>
          <w:sz w:val="24"/>
          <w:szCs w:val="24"/>
        </w:rPr>
        <w:t xml:space="preserve"> a </w:t>
      </w:r>
      <w:hyperlink r:id="rId10" w:history="1">
        <w:r w:rsidR="005D5D0B" w:rsidRPr="00C74811">
          <w:rPr>
            <w:rStyle w:val="Hyperlink"/>
            <w:rFonts w:ascii="Georgia" w:hAnsi="Georgia"/>
            <w:sz w:val="24"/>
            <w:szCs w:val="24"/>
          </w:rPr>
          <w:t>survey</w:t>
        </w:r>
      </w:hyperlink>
      <w:r w:rsidR="005D5D0B" w:rsidRPr="00C74811">
        <w:rPr>
          <w:rFonts w:ascii="Georgia" w:hAnsi="Georgia"/>
          <w:sz w:val="24"/>
          <w:szCs w:val="24"/>
        </w:rPr>
        <w:t xml:space="preserve"> of </w:t>
      </w:r>
      <w:r w:rsidR="00F05854" w:rsidRPr="00C74811">
        <w:rPr>
          <w:rFonts w:ascii="Georgia" w:hAnsi="Georgia"/>
          <w:sz w:val="24"/>
          <w:szCs w:val="24"/>
        </w:rPr>
        <w:t xml:space="preserve">a </w:t>
      </w:r>
      <w:r w:rsidR="005D5D0B" w:rsidRPr="00C74811">
        <w:rPr>
          <w:rFonts w:ascii="Georgia" w:hAnsi="Georgia"/>
          <w:sz w:val="24"/>
          <w:szCs w:val="24"/>
        </w:rPr>
        <w:t>similar scheme at the Union’s level limited only to occupational pensions (</w:t>
      </w:r>
      <w:hyperlink r:id="rId11" w:history="1">
        <w:r w:rsidR="005D5D0B" w:rsidRPr="00C74811">
          <w:rPr>
            <w:rStyle w:val="Hyperlink"/>
            <w:rFonts w:ascii="Georgia" w:hAnsi="Georgia"/>
            <w:sz w:val="24"/>
            <w:szCs w:val="24"/>
          </w:rPr>
          <w:t>IORP</w:t>
        </w:r>
      </w:hyperlink>
      <w:r w:rsidR="005D5D0B" w:rsidRPr="00C74811">
        <w:rPr>
          <w:rFonts w:ascii="Georgia" w:hAnsi="Georgia"/>
          <w:sz w:val="24"/>
          <w:szCs w:val="24"/>
        </w:rPr>
        <w:t xml:space="preserve"> Directive)</w:t>
      </w:r>
      <w:r w:rsidRPr="00C74811">
        <w:rPr>
          <w:rFonts w:ascii="Georgia" w:hAnsi="Georgia"/>
          <w:sz w:val="24"/>
          <w:szCs w:val="24"/>
        </w:rPr>
        <w:t xml:space="preserve"> </w:t>
      </w:r>
      <w:r w:rsidR="005D5D0B" w:rsidRPr="00C74811">
        <w:rPr>
          <w:rFonts w:ascii="Georgia" w:hAnsi="Georgia"/>
          <w:sz w:val="24"/>
          <w:szCs w:val="24"/>
        </w:rPr>
        <w:t xml:space="preserve">enlightened concerns in development of pan-European pension plans in terms of harmonization of social and labour components. </w:t>
      </w:r>
      <w:r w:rsidR="00FD53DB" w:rsidRPr="00C74811">
        <w:rPr>
          <w:rFonts w:ascii="Georgia" w:hAnsi="Georgia"/>
          <w:sz w:val="24"/>
          <w:szCs w:val="24"/>
        </w:rPr>
        <w:t xml:space="preserve">Another issue occurs in underdeveloped </w:t>
      </w:r>
      <w:r w:rsidRPr="00C74811">
        <w:rPr>
          <w:rFonts w:ascii="Georgia" w:hAnsi="Georgia"/>
          <w:sz w:val="24"/>
          <w:szCs w:val="24"/>
        </w:rPr>
        <w:t>personal pensions market in the Union</w:t>
      </w:r>
      <w:r w:rsidR="00FD53DB" w:rsidRPr="00C74811">
        <w:rPr>
          <w:rFonts w:ascii="Georgia" w:hAnsi="Georgia"/>
          <w:sz w:val="24"/>
          <w:szCs w:val="24"/>
        </w:rPr>
        <w:t>.</w:t>
      </w:r>
      <w:r w:rsidRPr="00C74811">
        <w:rPr>
          <w:rFonts w:ascii="Georgia" w:hAnsi="Georgia"/>
          <w:sz w:val="24"/>
          <w:szCs w:val="24"/>
        </w:rPr>
        <w:t xml:space="preserve"> So far, </w:t>
      </w:r>
      <w:r w:rsidRPr="00C74811">
        <w:rPr>
          <w:rFonts w:ascii="Georgia" w:hAnsi="Georgia"/>
          <w:sz w:val="24"/>
          <w:szCs w:val="24"/>
        </w:rPr>
        <w:lastRenderedPageBreak/>
        <w:t xml:space="preserve">only </w:t>
      </w:r>
      <w:hyperlink r:id="rId12" w:history="1">
        <w:r w:rsidRPr="00C74811">
          <w:rPr>
            <w:rStyle w:val="Hyperlink"/>
            <w:rFonts w:ascii="Georgia" w:hAnsi="Georgia"/>
            <w:sz w:val="24"/>
            <w:szCs w:val="24"/>
          </w:rPr>
          <w:t>27%</w:t>
        </w:r>
      </w:hyperlink>
      <w:r w:rsidRPr="00C74811">
        <w:rPr>
          <w:rFonts w:ascii="Georgia" w:hAnsi="Georgia"/>
          <w:sz w:val="24"/>
          <w:szCs w:val="24"/>
        </w:rPr>
        <w:t xml:space="preserve"> on Europeans are engaged in it (mostly in Germany and the Netherlands). Service providers and governments should </w:t>
      </w:r>
      <w:r w:rsidR="008A4F26" w:rsidRPr="00C74811">
        <w:rPr>
          <w:rFonts w:ascii="Georgia" w:hAnsi="Georgia"/>
          <w:sz w:val="24"/>
          <w:szCs w:val="24"/>
        </w:rPr>
        <w:t>bring personal</w:t>
      </w:r>
      <w:r w:rsidR="006D30F1" w:rsidRPr="00C74811">
        <w:rPr>
          <w:rFonts w:ascii="Georgia" w:hAnsi="Georgia"/>
          <w:sz w:val="24"/>
          <w:szCs w:val="24"/>
        </w:rPr>
        <w:t>ized</w:t>
      </w:r>
      <w:r w:rsidR="008A4F26" w:rsidRPr="00C74811">
        <w:rPr>
          <w:rFonts w:ascii="Georgia" w:hAnsi="Georgia"/>
          <w:sz w:val="24"/>
          <w:szCs w:val="24"/>
        </w:rPr>
        <w:t xml:space="preserve"> pensions closer to public and offer various incentives to participate in them. </w:t>
      </w:r>
      <w:r w:rsidR="003E3960" w:rsidRPr="00C74811">
        <w:rPr>
          <w:rFonts w:ascii="Georgia" w:hAnsi="Georgia"/>
          <w:sz w:val="24"/>
          <w:szCs w:val="24"/>
        </w:rPr>
        <w:t xml:space="preserve">It is in their interest too. </w:t>
      </w:r>
    </w:p>
    <w:p w:rsidR="00231A19" w:rsidRPr="00C74811" w:rsidRDefault="007F7F20" w:rsidP="008A4F26">
      <w:pPr>
        <w:jc w:val="both"/>
        <w:rPr>
          <w:rFonts w:ascii="Georgia" w:hAnsi="Georgia"/>
          <w:sz w:val="24"/>
          <w:szCs w:val="24"/>
        </w:rPr>
      </w:pPr>
      <w:r w:rsidRPr="00C74811">
        <w:rPr>
          <w:rFonts w:ascii="Georgia" w:hAnsi="Georgia"/>
          <w:sz w:val="24"/>
          <w:szCs w:val="24"/>
        </w:rPr>
        <w:t xml:space="preserve">To be blunt, personal pension plans including pan-European Pension are essential </w:t>
      </w:r>
      <w:r w:rsidR="009F422B" w:rsidRPr="00C74811">
        <w:rPr>
          <w:rFonts w:ascii="Georgia" w:hAnsi="Georgia"/>
          <w:sz w:val="24"/>
          <w:szCs w:val="24"/>
        </w:rPr>
        <w:t>in reshaping and strengthening sustainability of pension systems in</w:t>
      </w:r>
      <w:r w:rsidR="000C5841" w:rsidRPr="00C74811">
        <w:rPr>
          <w:rFonts w:ascii="Georgia" w:hAnsi="Georgia"/>
          <w:sz w:val="24"/>
          <w:szCs w:val="24"/>
        </w:rPr>
        <w:t xml:space="preserve"> ageing </w:t>
      </w:r>
      <w:r w:rsidRPr="00C74811">
        <w:rPr>
          <w:rFonts w:ascii="Georgia" w:hAnsi="Georgia"/>
          <w:sz w:val="24"/>
          <w:szCs w:val="24"/>
        </w:rPr>
        <w:t xml:space="preserve">Europe. </w:t>
      </w:r>
      <w:r w:rsidR="009F422B" w:rsidRPr="00C74811">
        <w:rPr>
          <w:rFonts w:ascii="Georgia" w:hAnsi="Georgia"/>
          <w:sz w:val="24"/>
          <w:szCs w:val="24"/>
        </w:rPr>
        <w:t>Firstly</w:t>
      </w:r>
      <w:r w:rsidR="001A61ED" w:rsidRPr="00C74811">
        <w:rPr>
          <w:rFonts w:ascii="Georgia" w:hAnsi="Georgia"/>
          <w:sz w:val="24"/>
          <w:szCs w:val="24"/>
        </w:rPr>
        <w:t xml:space="preserve">, </w:t>
      </w:r>
      <w:r w:rsidR="006D30F1" w:rsidRPr="00C74811">
        <w:rPr>
          <w:rFonts w:ascii="Georgia" w:hAnsi="Georgia"/>
          <w:sz w:val="24"/>
          <w:szCs w:val="24"/>
        </w:rPr>
        <w:t>“</w:t>
      </w:r>
      <w:r w:rsidR="001A61ED" w:rsidRPr="00C74811">
        <w:rPr>
          <w:rFonts w:ascii="Georgia" w:hAnsi="Georgia"/>
          <w:sz w:val="24"/>
          <w:szCs w:val="24"/>
        </w:rPr>
        <w:t>perso</w:t>
      </w:r>
      <w:r w:rsidR="000C5841" w:rsidRPr="00C74811">
        <w:rPr>
          <w:rFonts w:ascii="Georgia" w:hAnsi="Georgia"/>
          <w:sz w:val="24"/>
          <w:szCs w:val="24"/>
        </w:rPr>
        <w:t>nalization</w:t>
      </w:r>
      <w:r w:rsidR="006D30F1" w:rsidRPr="00C74811">
        <w:rPr>
          <w:rFonts w:ascii="Georgia" w:hAnsi="Georgia"/>
          <w:sz w:val="24"/>
          <w:szCs w:val="24"/>
        </w:rPr>
        <w:t>”</w:t>
      </w:r>
      <w:r w:rsidR="000C5841" w:rsidRPr="00C74811">
        <w:rPr>
          <w:rFonts w:ascii="Georgia" w:hAnsi="Georgia"/>
          <w:sz w:val="24"/>
          <w:szCs w:val="24"/>
        </w:rPr>
        <w:t xml:space="preserve"> of pensions was</w:t>
      </w:r>
      <w:r w:rsidR="001A61ED" w:rsidRPr="00C74811">
        <w:rPr>
          <w:rFonts w:ascii="Georgia" w:hAnsi="Georgia"/>
          <w:sz w:val="24"/>
          <w:szCs w:val="24"/>
        </w:rPr>
        <w:t xml:space="preserve"> the core of the </w:t>
      </w:r>
      <w:hyperlink r:id="rId13" w:history="1">
        <w:r w:rsidR="001A61ED" w:rsidRPr="00C74811">
          <w:rPr>
            <w:rStyle w:val="Hyperlink"/>
            <w:rFonts w:ascii="Georgia" w:hAnsi="Georgia"/>
            <w:sz w:val="24"/>
            <w:szCs w:val="24"/>
          </w:rPr>
          <w:t>World Bank’s</w:t>
        </w:r>
      </w:hyperlink>
      <w:r w:rsidR="00A840CD" w:rsidRPr="00C74811">
        <w:rPr>
          <w:rFonts w:ascii="Georgia" w:hAnsi="Georgia"/>
          <w:sz w:val="24"/>
          <w:szCs w:val="24"/>
        </w:rPr>
        <w:t xml:space="preserve"> </w:t>
      </w:r>
      <w:r w:rsidR="001A61ED" w:rsidRPr="00C74811">
        <w:rPr>
          <w:rFonts w:ascii="Georgia" w:hAnsi="Georgia"/>
          <w:sz w:val="24"/>
          <w:szCs w:val="24"/>
        </w:rPr>
        <w:t xml:space="preserve">multipillar pension reform. The idea is to </w:t>
      </w:r>
      <w:r w:rsidR="00202AB6" w:rsidRPr="00C74811">
        <w:rPr>
          <w:rFonts w:ascii="Georgia" w:hAnsi="Georgia"/>
          <w:sz w:val="24"/>
          <w:szCs w:val="24"/>
        </w:rPr>
        <w:t xml:space="preserve">transfer </w:t>
      </w:r>
      <w:r w:rsidR="001A61ED" w:rsidRPr="00C74811">
        <w:rPr>
          <w:rFonts w:ascii="Georgia" w:hAnsi="Georgia"/>
          <w:sz w:val="24"/>
          <w:szCs w:val="24"/>
        </w:rPr>
        <w:t>pension expenses</w:t>
      </w:r>
      <w:r w:rsidR="00574F9C" w:rsidRPr="00C74811">
        <w:rPr>
          <w:rFonts w:ascii="Georgia" w:hAnsi="Georgia"/>
          <w:sz w:val="24"/>
          <w:szCs w:val="24"/>
        </w:rPr>
        <w:t xml:space="preserve"> and risks</w:t>
      </w:r>
      <w:r w:rsidR="001A61ED" w:rsidRPr="00C74811">
        <w:rPr>
          <w:rFonts w:ascii="Georgia" w:hAnsi="Georgia"/>
          <w:sz w:val="24"/>
          <w:szCs w:val="24"/>
        </w:rPr>
        <w:t xml:space="preserve"> from the government budget to contributors themselves</w:t>
      </w:r>
      <w:r w:rsidR="00202AB6" w:rsidRPr="00C74811">
        <w:rPr>
          <w:rFonts w:ascii="Georgia" w:hAnsi="Georgia"/>
          <w:sz w:val="24"/>
          <w:szCs w:val="24"/>
        </w:rPr>
        <w:t xml:space="preserve"> gradually</w:t>
      </w:r>
      <w:r w:rsidR="001A61ED" w:rsidRPr="00C74811">
        <w:rPr>
          <w:rFonts w:ascii="Georgia" w:hAnsi="Georgia"/>
          <w:sz w:val="24"/>
          <w:szCs w:val="24"/>
        </w:rPr>
        <w:t>. Ageing increases the cost of pensions and puts too much pressure on already fragile public budgets.</w:t>
      </w:r>
    </w:p>
    <w:p w:rsidR="001A61ED" w:rsidRPr="00C74811" w:rsidRDefault="00574F9C" w:rsidP="008A4F26">
      <w:pPr>
        <w:jc w:val="both"/>
        <w:rPr>
          <w:rFonts w:ascii="Georgia" w:hAnsi="Georgia"/>
          <w:sz w:val="24"/>
          <w:szCs w:val="24"/>
        </w:rPr>
      </w:pPr>
      <w:r w:rsidRPr="00C74811">
        <w:rPr>
          <w:rFonts w:ascii="Georgia" w:hAnsi="Georgia"/>
          <w:sz w:val="24"/>
          <w:szCs w:val="24"/>
        </w:rPr>
        <w:t xml:space="preserve">Secondly, pan-European </w:t>
      </w:r>
      <w:r w:rsidR="001A61ED" w:rsidRPr="00C74811">
        <w:rPr>
          <w:rFonts w:ascii="Georgia" w:hAnsi="Georgia"/>
          <w:sz w:val="24"/>
          <w:szCs w:val="24"/>
        </w:rPr>
        <w:t xml:space="preserve">Pension </w:t>
      </w:r>
      <w:r w:rsidR="00EE062F" w:rsidRPr="00C74811">
        <w:rPr>
          <w:rFonts w:ascii="Georgia" w:hAnsi="Georgia"/>
          <w:sz w:val="24"/>
          <w:szCs w:val="24"/>
        </w:rPr>
        <w:t xml:space="preserve">supports </w:t>
      </w:r>
      <w:r w:rsidRPr="00C74811">
        <w:rPr>
          <w:rFonts w:ascii="Georgia" w:hAnsi="Georgia"/>
          <w:sz w:val="24"/>
          <w:szCs w:val="24"/>
        </w:rPr>
        <w:t>present</w:t>
      </w:r>
      <w:r w:rsidR="00EE062F" w:rsidRPr="00C74811">
        <w:rPr>
          <w:rFonts w:ascii="Georgia" w:hAnsi="Georgia"/>
          <w:sz w:val="24"/>
          <w:szCs w:val="24"/>
        </w:rPr>
        <w:t xml:space="preserve"> fiscal</w:t>
      </w:r>
      <w:r w:rsidR="002D4D10" w:rsidRPr="00C74811">
        <w:rPr>
          <w:rFonts w:ascii="Georgia" w:hAnsi="Georgia"/>
          <w:sz w:val="24"/>
          <w:szCs w:val="24"/>
        </w:rPr>
        <w:t xml:space="preserve"> and </w:t>
      </w:r>
      <w:r w:rsidR="001A61ED" w:rsidRPr="00C74811">
        <w:rPr>
          <w:rFonts w:ascii="Georgia" w:hAnsi="Georgia"/>
          <w:sz w:val="24"/>
          <w:szCs w:val="24"/>
        </w:rPr>
        <w:t>economic policy coordination</w:t>
      </w:r>
      <w:r w:rsidR="00EE062F" w:rsidRPr="00C74811">
        <w:rPr>
          <w:rFonts w:ascii="Georgia" w:hAnsi="Georgia"/>
          <w:sz w:val="24"/>
          <w:szCs w:val="24"/>
        </w:rPr>
        <w:t xml:space="preserve"> framework</w:t>
      </w:r>
      <w:r w:rsidR="001A61ED" w:rsidRPr="00C74811">
        <w:rPr>
          <w:rFonts w:ascii="Georgia" w:hAnsi="Georgia"/>
          <w:sz w:val="24"/>
          <w:szCs w:val="24"/>
        </w:rPr>
        <w:t xml:space="preserve"> at the Union level. </w:t>
      </w:r>
      <w:r w:rsidR="00A37FCF" w:rsidRPr="00C74811">
        <w:rPr>
          <w:rFonts w:ascii="Georgia" w:hAnsi="Georgia"/>
          <w:sz w:val="24"/>
          <w:szCs w:val="24"/>
        </w:rPr>
        <w:t xml:space="preserve">The point is to ease up the public finances. In that setting, governments will have manoeuvre </w:t>
      </w:r>
      <w:r w:rsidR="002D4D10" w:rsidRPr="00C74811">
        <w:rPr>
          <w:rFonts w:ascii="Georgia" w:hAnsi="Georgia"/>
          <w:sz w:val="24"/>
          <w:szCs w:val="24"/>
        </w:rPr>
        <w:t xml:space="preserve">to comply with requirements of, for example, </w:t>
      </w:r>
      <w:r w:rsidR="00EB0915" w:rsidRPr="00C74811">
        <w:rPr>
          <w:rFonts w:ascii="Georgia" w:hAnsi="Georgia"/>
          <w:sz w:val="24"/>
          <w:szCs w:val="24"/>
        </w:rPr>
        <w:t xml:space="preserve">the </w:t>
      </w:r>
      <w:r w:rsidR="00A37FCF" w:rsidRPr="00C74811">
        <w:rPr>
          <w:rFonts w:ascii="Georgia" w:hAnsi="Georgia"/>
          <w:sz w:val="24"/>
          <w:szCs w:val="24"/>
        </w:rPr>
        <w:t xml:space="preserve">Stability and Growth Pact </w:t>
      </w:r>
      <w:r w:rsidR="002D4D10" w:rsidRPr="00C74811">
        <w:rPr>
          <w:rFonts w:ascii="Georgia" w:hAnsi="Georgia"/>
          <w:sz w:val="24"/>
          <w:szCs w:val="24"/>
        </w:rPr>
        <w:t xml:space="preserve">and Fiscal Pact </w:t>
      </w:r>
      <w:r w:rsidR="00A37FCF" w:rsidRPr="00C74811">
        <w:rPr>
          <w:rFonts w:ascii="Georgia" w:hAnsi="Georgia"/>
          <w:sz w:val="24"/>
          <w:szCs w:val="24"/>
        </w:rPr>
        <w:t xml:space="preserve">regarding fiscal policy, and </w:t>
      </w:r>
      <w:r w:rsidR="00EB0915" w:rsidRPr="00C74811">
        <w:rPr>
          <w:rFonts w:ascii="Georgia" w:hAnsi="Georgia"/>
          <w:sz w:val="24"/>
          <w:szCs w:val="24"/>
        </w:rPr>
        <w:t xml:space="preserve">the </w:t>
      </w:r>
      <w:r w:rsidR="002D4D10" w:rsidRPr="00C74811">
        <w:rPr>
          <w:rFonts w:ascii="Georgia" w:hAnsi="Georgia"/>
          <w:sz w:val="24"/>
          <w:szCs w:val="24"/>
        </w:rPr>
        <w:t xml:space="preserve">Macroeconomic Imbalance Procedure </w:t>
      </w:r>
      <w:r w:rsidR="00B523F5" w:rsidRPr="00C74811">
        <w:rPr>
          <w:rFonts w:ascii="Georgia" w:hAnsi="Georgia"/>
          <w:sz w:val="24"/>
          <w:szCs w:val="24"/>
        </w:rPr>
        <w:t>concerning</w:t>
      </w:r>
      <w:r w:rsidR="002D4D10" w:rsidRPr="00C74811">
        <w:rPr>
          <w:rFonts w:ascii="Georgia" w:hAnsi="Georgia"/>
          <w:sz w:val="24"/>
          <w:szCs w:val="24"/>
        </w:rPr>
        <w:t xml:space="preserve"> economic policy.</w:t>
      </w:r>
      <w:r w:rsidR="00B523F5" w:rsidRPr="00C74811">
        <w:rPr>
          <w:rFonts w:ascii="Georgia" w:hAnsi="Georgia"/>
          <w:sz w:val="24"/>
          <w:szCs w:val="24"/>
        </w:rPr>
        <w:t xml:space="preserve"> </w:t>
      </w:r>
      <w:r w:rsidR="00AF358F" w:rsidRPr="00C74811">
        <w:rPr>
          <w:rFonts w:ascii="Georgia" w:hAnsi="Georgia"/>
          <w:sz w:val="24"/>
          <w:szCs w:val="24"/>
        </w:rPr>
        <w:t>T</w:t>
      </w:r>
      <w:r w:rsidR="00B523F5" w:rsidRPr="00C74811">
        <w:rPr>
          <w:rFonts w:ascii="Georgia" w:hAnsi="Georgia"/>
          <w:sz w:val="24"/>
          <w:szCs w:val="24"/>
        </w:rPr>
        <w:t xml:space="preserve">he Eurozone </w:t>
      </w:r>
      <w:r w:rsidR="00AF358F" w:rsidRPr="00C74811">
        <w:rPr>
          <w:rFonts w:ascii="Georgia" w:hAnsi="Georgia"/>
          <w:sz w:val="24"/>
          <w:szCs w:val="24"/>
        </w:rPr>
        <w:t xml:space="preserve">would be somewhat more stable and policymakers would rather </w:t>
      </w:r>
      <w:r w:rsidR="005B1464" w:rsidRPr="00C74811">
        <w:rPr>
          <w:rFonts w:ascii="Georgia" w:hAnsi="Georgia"/>
          <w:sz w:val="24"/>
          <w:szCs w:val="24"/>
        </w:rPr>
        <w:t>focus on</w:t>
      </w:r>
      <w:r w:rsidR="00AF358F" w:rsidRPr="00C74811">
        <w:rPr>
          <w:rFonts w:ascii="Georgia" w:hAnsi="Georgia"/>
          <w:sz w:val="24"/>
          <w:szCs w:val="24"/>
        </w:rPr>
        <w:t xml:space="preserve"> sustainable growth. </w:t>
      </w:r>
    </w:p>
    <w:p w:rsidR="008A4F26" w:rsidRPr="00C74811" w:rsidRDefault="00137D2B" w:rsidP="008A4F26">
      <w:pPr>
        <w:jc w:val="both"/>
        <w:rPr>
          <w:rFonts w:ascii="Georgia" w:hAnsi="Georgia"/>
          <w:sz w:val="24"/>
          <w:szCs w:val="24"/>
        </w:rPr>
      </w:pPr>
      <w:r w:rsidRPr="00C74811">
        <w:rPr>
          <w:rFonts w:ascii="Georgia" w:hAnsi="Georgia"/>
          <w:sz w:val="24"/>
          <w:szCs w:val="24"/>
        </w:rPr>
        <w:t>Thirdly, a huge long-term investment</w:t>
      </w:r>
      <w:r w:rsidR="006D2B3F" w:rsidRPr="00C74811">
        <w:rPr>
          <w:rFonts w:ascii="Georgia" w:hAnsi="Georgia"/>
          <w:sz w:val="24"/>
          <w:szCs w:val="24"/>
        </w:rPr>
        <w:t xml:space="preserve"> and </w:t>
      </w:r>
      <w:r w:rsidRPr="00C74811">
        <w:rPr>
          <w:rFonts w:ascii="Georgia" w:hAnsi="Georgia"/>
          <w:sz w:val="24"/>
          <w:szCs w:val="24"/>
        </w:rPr>
        <w:t xml:space="preserve">growth potential could be unlocked with pan-European Personal pension. The Europeans </w:t>
      </w:r>
      <w:proofErr w:type="gramStart"/>
      <w:r w:rsidRPr="00C74811">
        <w:rPr>
          <w:rFonts w:ascii="Georgia" w:hAnsi="Georgia"/>
          <w:sz w:val="24"/>
          <w:szCs w:val="24"/>
        </w:rPr>
        <w:t>are known</w:t>
      </w:r>
      <w:proofErr w:type="gramEnd"/>
      <w:r w:rsidRPr="00C74811">
        <w:rPr>
          <w:rFonts w:ascii="Georgia" w:hAnsi="Georgia"/>
          <w:sz w:val="24"/>
          <w:szCs w:val="24"/>
        </w:rPr>
        <w:t xml:space="preserve"> for their </w:t>
      </w:r>
      <w:r w:rsidR="008C03BC" w:rsidRPr="00C74811">
        <w:rPr>
          <w:rFonts w:ascii="Georgia" w:hAnsi="Georgia"/>
          <w:sz w:val="24"/>
          <w:szCs w:val="24"/>
        </w:rPr>
        <w:t>diligent</w:t>
      </w:r>
      <w:r w:rsidR="000D0367" w:rsidRPr="00C74811">
        <w:rPr>
          <w:rFonts w:ascii="Georgia" w:hAnsi="Georgia"/>
          <w:sz w:val="24"/>
          <w:szCs w:val="24"/>
        </w:rPr>
        <w:t xml:space="preserve"> </w:t>
      </w:r>
      <w:r w:rsidRPr="00C74811">
        <w:rPr>
          <w:rFonts w:ascii="Georgia" w:hAnsi="Georgia"/>
          <w:sz w:val="24"/>
          <w:szCs w:val="24"/>
        </w:rPr>
        <w:t>saving habits. The pan-Pension</w:t>
      </w:r>
      <w:r w:rsidR="008A4F26" w:rsidRPr="00C74811">
        <w:rPr>
          <w:rFonts w:ascii="Georgia" w:hAnsi="Georgia"/>
          <w:sz w:val="24"/>
          <w:szCs w:val="24"/>
        </w:rPr>
        <w:t xml:space="preserve"> </w:t>
      </w:r>
      <w:r w:rsidRPr="00C74811">
        <w:rPr>
          <w:rFonts w:ascii="Georgia" w:hAnsi="Georgia"/>
          <w:sz w:val="24"/>
          <w:szCs w:val="24"/>
        </w:rPr>
        <w:t xml:space="preserve">could utilize that capital in cost–effective manner by </w:t>
      </w:r>
      <w:r w:rsidR="001830B5" w:rsidRPr="00C74811">
        <w:rPr>
          <w:rFonts w:ascii="Georgia" w:hAnsi="Georgia"/>
          <w:sz w:val="24"/>
          <w:szCs w:val="24"/>
        </w:rPr>
        <w:t>achieving</w:t>
      </w:r>
      <w:r w:rsidRPr="00C74811">
        <w:rPr>
          <w:rFonts w:ascii="Georgia" w:hAnsi="Georgia"/>
          <w:sz w:val="24"/>
          <w:szCs w:val="24"/>
        </w:rPr>
        <w:t xml:space="preserve"> economy of scale.  </w:t>
      </w:r>
      <w:r w:rsidR="001830B5" w:rsidRPr="00C74811">
        <w:rPr>
          <w:rFonts w:ascii="Georgia" w:hAnsi="Georgia"/>
          <w:sz w:val="24"/>
          <w:szCs w:val="24"/>
        </w:rPr>
        <w:t xml:space="preserve">Consequently, the pan-Pension would buttress desirable </w:t>
      </w:r>
      <w:hyperlink r:id="rId14" w:history="1">
        <w:r w:rsidR="001139F1" w:rsidRPr="00C74811">
          <w:rPr>
            <w:rStyle w:val="Hyperlink"/>
            <w:rFonts w:ascii="Georgia" w:hAnsi="Georgia"/>
            <w:sz w:val="24"/>
            <w:szCs w:val="24"/>
          </w:rPr>
          <w:t>Capital Market</w:t>
        </w:r>
        <w:r w:rsidR="001830B5" w:rsidRPr="00C74811">
          <w:rPr>
            <w:rStyle w:val="Hyperlink"/>
            <w:rFonts w:ascii="Georgia" w:hAnsi="Georgia"/>
            <w:sz w:val="24"/>
            <w:szCs w:val="24"/>
          </w:rPr>
          <w:t xml:space="preserve"> Union</w:t>
        </w:r>
      </w:hyperlink>
      <w:r w:rsidR="001830B5" w:rsidRPr="00C74811">
        <w:rPr>
          <w:rFonts w:ascii="Georgia" w:hAnsi="Georgia"/>
          <w:sz w:val="24"/>
          <w:szCs w:val="24"/>
        </w:rPr>
        <w:t xml:space="preserve"> and would </w:t>
      </w:r>
      <w:r w:rsidR="000D0367" w:rsidRPr="00C74811">
        <w:rPr>
          <w:rFonts w:ascii="Georgia" w:hAnsi="Georgia"/>
          <w:sz w:val="24"/>
          <w:szCs w:val="24"/>
        </w:rPr>
        <w:t xml:space="preserve">therefore </w:t>
      </w:r>
      <w:r w:rsidR="001830B5" w:rsidRPr="00C74811">
        <w:rPr>
          <w:rFonts w:ascii="Georgia" w:hAnsi="Georgia"/>
          <w:sz w:val="24"/>
          <w:szCs w:val="24"/>
        </w:rPr>
        <w:t xml:space="preserve">contribute </w:t>
      </w:r>
      <w:r w:rsidR="000642A8" w:rsidRPr="00C74811">
        <w:rPr>
          <w:rFonts w:ascii="Georgia" w:hAnsi="Georgia"/>
          <w:sz w:val="24"/>
          <w:szCs w:val="24"/>
        </w:rPr>
        <w:t xml:space="preserve">to deeper economic integration. </w:t>
      </w:r>
    </w:p>
    <w:p w:rsidR="00D431CF" w:rsidRPr="00C74811" w:rsidRDefault="001139F1" w:rsidP="00202AB6">
      <w:pPr>
        <w:jc w:val="both"/>
        <w:rPr>
          <w:rFonts w:ascii="Georgia" w:hAnsi="Georgia"/>
          <w:sz w:val="24"/>
          <w:szCs w:val="24"/>
        </w:rPr>
      </w:pPr>
      <w:r w:rsidRPr="00C74811">
        <w:rPr>
          <w:rFonts w:ascii="Georgia" w:hAnsi="Georgia"/>
          <w:sz w:val="24"/>
          <w:szCs w:val="24"/>
        </w:rPr>
        <w:t xml:space="preserve">Governments and </w:t>
      </w:r>
      <w:r w:rsidR="00EB0915" w:rsidRPr="00C74811">
        <w:rPr>
          <w:rFonts w:ascii="Georgia" w:hAnsi="Georgia"/>
          <w:sz w:val="24"/>
          <w:szCs w:val="24"/>
        </w:rPr>
        <w:t>savers</w:t>
      </w:r>
      <w:r w:rsidRPr="00C74811">
        <w:rPr>
          <w:rFonts w:ascii="Georgia" w:hAnsi="Georgia"/>
          <w:sz w:val="24"/>
          <w:szCs w:val="24"/>
        </w:rPr>
        <w:t xml:space="preserve"> should embrace </w:t>
      </w:r>
      <w:r w:rsidR="007D254C" w:rsidRPr="00C74811">
        <w:rPr>
          <w:rFonts w:ascii="Georgia" w:hAnsi="Georgia"/>
          <w:sz w:val="24"/>
          <w:szCs w:val="24"/>
        </w:rPr>
        <w:t xml:space="preserve">the </w:t>
      </w:r>
      <w:r w:rsidRPr="00C74811">
        <w:rPr>
          <w:rFonts w:ascii="Georgia" w:hAnsi="Georgia"/>
          <w:sz w:val="24"/>
          <w:szCs w:val="24"/>
        </w:rPr>
        <w:t>free movement of labour and i</w:t>
      </w:r>
      <w:r w:rsidR="00375D6A" w:rsidRPr="00C74811">
        <w:rPr>
          <w:rFonts w:ascii="Georgia" w:hAnsi="Georgia"/>
          <w:sz w:val="24"/>
          <w:szCs w:val="24"/>
        </w:rPr>
        <w:t xml:space="preserve">ts advantages by supporting </w:t>
      </w:r>
      <w:r w:rsidRPr="00C74811">
        <w:rPr>
          <w:rFonts w:ascii="Georgia" w:hAnsi="Georgia"/>
          <w:sz w:val="24"/>
          <w:szCs w:val="24"/>
        </w:rPr>
        <w:t xml:space="preserve">the pan-European Personal Pension. It has the potential to yield progressive outcomes on multiple fronts – pension system sustainability, </w:t>
      </w:r>
      <w:r w:rsidR="00375D6A" w:rsidRPr="00C74811">
        <w:rPr>
          <w:rFonts w:ascii="Georgia" w:hAnsi="Georgia"/>
          <w:sz w:val="24"/>
          <w:szCs w:val="24"/>
        </w:rPr>
        <w:t>policy coordination</w:t>
      </w:r>
      <w:r w:rsidRPr="00C74811">
        <w:rPr>
          <w:rFonts w:ascii="Georgia" w:hAnsi="Georgia"/>
          <w:sz w:val="24"/>
          <w:szCs w:val="24"/>
        </w:rPr>
        <w:t>, investment and growth, and deeper economic integration.</w:t>
      </w:r>
      <w:r w:rsidR="00C75A8D" w:rsidRPr="00C74811">
        <w:rPr>
          <w:rFonts w:ascii="Georgia" w:hAnsi="Georgia"/>
          <w:sz w:val="24"/>
          <w:szCs w:val="24"/>
        </w:rPr>
        <w:t xml:space="preserve"> Yet, it is not a final solution to ongoing policy challenges such as ageing population, but sure is a significant part of it. </w:t>
      </w:r>
      <w:r w:rsidR="00557F0D" w:rsidRPr="00C74811">
        <w:rPr>
          <w:rFonts w:ascii="Georgia" w:hAnsi="Georgia"/>
          <w:sz w:val="24"/>
          <w:szCs w:val="24"/>
        </w:rPr>
        <w:t>T</w:t>
      </w:r>
      <w:r w:rsidR="00C75A8D" w:rsidRPr="00C74811">
        <w:rPr>
          <w:rFonts w:ascii="Georgia" w:hAnsi="Georgia"/>
          <w:sz w:val="24"/>
          <w:szCs w:val="24"/>
        </w:rPr>
        <w:t xml:space="preserve">his time the Union may actually </w:t>
      </w:r>
      <w:r w:rsidR="00BB6B38" w:rsidRPr="00C74811">
        <w:rPr>
          <w:rFonts w:ascii="Georgia" w:hAnsi="Georgia"/>
          <w:sz w:val="24"/>
          <w:szCs w:val="24"/>
        </w:rPr>
        <w:t>know</w:t>
      </w:r>
      <w:r w:rsidR="00C75A8D" w:rsidRPr="00C74811">
        <w:rPr>
          <w:rFonts w:ascii="Georgia" w:hAnsi="Georgia"/>
          <w:sz w:val="24"/>
          <w:szCs w:val="24"/>
        </w:rPr>
        <w:t xml:space="preserve"> what it is doing and why.</w:t>
      </w:r>
      <w:r w:rsidRPr="00C74811">
        <w:rPr>
          <w:rFonts w:ascii="Georgia" w:hAnsi="Georgia"/>
          <w:sz w:val="24"/>
          <w:szCs w:val="24"/>
        </w:rPr>
        <w:t xml:space="preserve"> </w:t>
      </w:r>
    </w:p>
    <w:p w:rsidR="00202AB6" w:rsidRPr="00C74811" w:rsidRDefault="00202AB6">
      <w:pPr>
        <w:jc w:val="both"/>
        <w:rPr>
          <w:rFonts w:ascii="Georgia" w:hAnsi="Georgia"/>
          <w:sz w:val="24"/>
          <w:szCs w:val="24"/>
        </w:rPr>
      </w:pPr>
    </w:p>
    <w:sectPr w:rsidR="00202AB6" w:rsidRPr="00C74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0F73"/>
    <w:multiLevelType w:val="hybridMultilevel"/>
    <w:tmpl w:val="6E96E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wMjM0NjU1NbY0MzBW0lEKTi0uzszPAykwrwUATAcscywAAAA="/>
  </w:docVars>
  <w:rsids>
    <w:rsidRoot w:val="00BB6083"/>
    <w:rsid w:val="00024943"/>
    <w:rsid w:val="000459E0"/>
    <w:rsid w:val="00060835"/>
    <w:rsid w:val="000642A8"/>
    <w:rsid w:val="000B0A9C"/>
    <w:rsid w:val="000B4151"/>
    <w:rsid w:val="000C5841"/>
    <w:rsid w:val="000D0367"/>
    <w:rsid w:val="001139F1"/>
    <w:rsid w:val="001337CD"/>
    <w:rsid w:val="00137D2B"/>
    <w:rsid w:val="001830B5"/>
    <w:rsid w:val="00184DE5"/>
    <w:rsid w:val="001A61ED"/>
    <w:rsid w:val="001C7C2E"/>
    <w:rsid w:val="001D51D3"/>
    <w:rsid w:val="00202AB6"/>
    <w:rsid w:val="00231A19"/>
    <w:rsid w:val="002341FF"/>
    <w:rsid w:val="002679E9"/>
    <w:rsid w:val="00276B08"/>
    <w:rsid w:val="0029129C"/>
    <w:rsid w:val="00297042"/>
    <w:rsid w:val="002A15F8"/>
    <w:rsid w:val="002D4D10"/>
    <w:rsid w:val="0033072C"/>
    <w:rsid w:val="00357AFA"/>
    <w:rsid w:val="00375D6A"/>
    <w:rsid w:val="00382956"/>
    <w:rsid w:val="003A0F46"/>
    <w:rsid w:val="003B5B87"/>
    <w:rsid w:val="003E3960"/>
    <w:rsid w:val="004016A1"/>
    <w:rsid w:val="004D7D49"/>
    <w:rsid w:val="005004EC"/>
    <w:rsid w:val="005033A7"/>
    <w:rsid w:val="0050645C"/>
    <w:rsid w:val="005074D3"/>
    <w:rsid w:val="00557F0D"/>
    <w:rsid w:val="00574F9C"/>
    <w:rsid w:val="005B1464"/>
    <w:rsid w:val="005B1645"/>
    <w:rsid w:val="005D5702"/>
    <w:rsid w:val="005D5D0B"/>
    <w:rsid w:val="00612A7F"/>
    <w:rsid w:val="006723B2"/>
    <w:rsid w:val="00696C48"/>
    <w:rsid w:val="006D2B3F"/>
    <w:rsid w:val="006D30F1"/>
    <w:rsid w:val="006F2B43"/>
    <w:rsid w:val="00707D31"/>
    <w:rsid w:val="00761DE3"/>
    <w:rsid w:val="007A339F"/>
    <w:rsid w:val="007C0A90"/>
    <w:rsid w:val="007D254C"/>
    <w:rsid w:val="007F7F20"/>
    <w:rsid w:val="008219C0"/>
    <w:rsid w:val="00843A40"/>
    <w:rsid w:val="0088341B"/>
    <w:rsid w:val="0088464A"/>
    <w:rsid w:val="008A4F26"/>
    <w:rsid w:val="008C03BC"/>
    <w:rsid w:val="008D23EF"/>
    <w:rsid w:val="008D2468"/>
    <w:rsid w:val="00916C37"/>
    <w:rsid w:val="00937E1F"/>
    <w:rsid w:val="00950EE9"/>
    <w:rsid w:val="009F422B"/>
    <w:rsid w:val="00A23378"/>
    <w:rsid w:val="00A37FCF"/>
    <w:rsid w:val="00A546AB"/>
    <w:rsid w:val="00A82AA9"/>
    <w:rsid w:val="00A840CD"/>
    <w:rsid w:val="00AE4E37"/>
    <w:rsid w:val="00AF358F"/>
    <w:rsid w:val="00B523F5"/>
    <w:rsid w:val="00BA11CA"/>
    <w:rsid w:val="00BA6D1A"/>
    <w:rsid w:val="00BB6083"/>
    <w:rsid w:val="00BB6B38"/>
    <w:rsid w:val="00BC6594"/>
    <w:rsid w:val="00BF369D"/>
    <w:rsid w:val="00BF4579"/>
    <w:rsid w:val="00C11385"/>
    <w:rsid w:val="00C60861"/>
    <w:rsid w:val="00C67192"/>
    <w:rsid w:val="00C74811"/>
    <w:rsid w:val="00C75A8D"/>
    <w:rsid w:val="00C9027A"/>
    <w:rsid w:val="00D2075D"/>
    <w:rsid w:val="00D431CF"/>
    <w:rsid w:val="00DC157B"/>
    <w:rsid w:val="00E90702"/>
    <w:rsid w:val="00EB0915"/>
    <w:rsid w:val="00EE062F"/>
    <w:rsid w:val="00EF30B6"/>
    <w:rsid w:val="00F05854"/>
    <w:rsid w:val="00F92AB7"/>
    <w:rsid w:val="00FB0830"/>
    <w:rsid w:val="00FC1E19"/>
    <w:rsid w:val="00FD3FA1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A82B"/>
  <w15:chartTrackingRefBased/>
  <w15:docId w15:val="{AD749455-A63D-45AB-AFE5-A8D323CE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B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22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rapid/press-release_MEMO-17-1798_en.htm" TargetMode="External"/><Relationship Id="rId13" Type="http://schemas.openxmlformats.org/officeDocument/2006/relationships/hyperlink" Target="http://documents.worldbank.org/curated/en/973571468174557899/Averting-the-old-age-crisis-policies-to-protect-the-old-and-promote-grow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activ.com/section/economy-jobs/interview/dombrovskis-there-is-appetite-for-a-pan-european-pensions-product/" TargetMode="External"/><Relationship Id="rId12" Type="http://schemas.openxmlformats.org/officeDocument/2006/relationships/hyperlink" Target="https://www.theguardian.com/world/2017/jun/29/eu-pension-planned-for-people-who-move-between-countr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.europa.eu/eurostat/tgm/table.do?tab=table&amp;init=1&amp;language=en&amp;pcode=tsdde510&amp;plugin=1" TargetMode="External"/><Relationship Id="rId11" Type="http://schemas.openxmlformats.org/officeDocument/2006/relationships/hyperlink" Target="http://eur-lex.europa.eu/legal-content/EN/TXT/?uri=CELEX%3A32016L2341" TargetMode="External"/><Relationship Id="rId5" Type="http://schemas.openxmlformats.org/officeDocument/2006/relationships/hyperlink" Target="http://politheor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nlinelibrary.wiley.com/doi/10.1111/j.1468-246X.2010.01382.x/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.eu/rapid/press-release_IP-17-1800_en.htm" TargetMode="External"/><Relationship Id="rId14" Type="http://schemas.openxmlformats.org/officeDocument/2006/relationships/hyperlink" Target="https://ec.europa.eu/info/business-economy-euro/growth-and-investment/capital-markets-union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TKALEC</dc:creator>
  <cp:keywords/>
  <dc:description/>
  <cp:lastModifiedBy>Igor TKALEC</cp:lastModifiedBy>
  <cp:revision>165</cp:revision>
  <dcterms:created xsi:type="dcterms:W3CDTF">2017-09-04T19:15:00Z</dcterms:created>
  <dcterms:modified xsi:type="dcterms:W3CDTF">2017-11-23T09:29:00Z</dcterms:modified>
</cp:coreProperties>
</file>